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55" w:rsidRPr="000C71CD" w:rsidRDefault="00122855" w:rsidP="00122855">
      <w:pPr>
        <w:pStyle w:val="NormalWeb"/>
        <w:jc w:val="center"/>
        <w:rPr>
          <w:b/>
          <w:bCs/>
          <w:sz w:val="22"/>
          <w:szCs w:val="22"/>
          <w:lang w:val="en-US"/>
        </w:rPr>
      </w:pPr>
      <w:r>
        <w:rPr>
          <w:b/>
          <w:bCs/>
          <w:lang w:val="en-US"/>
        </w:rPr>
        <w:t xml:space="preserve">POSTER 28: </w:t>
      </w:r>
      <w:r w:rsidRPr="000C71CD">
        <w:rPr>
          <w:b/>
          <w:bCs/>
          <w:lang w:val="en-US"/>
        </w:rPr>
        <w:t>CMML patients with low expression of TP53 point to AML transformation</w:t>
      </w:r>
    </w:p>
    <w:p w:rsidR="00122855" w:rsidRPr="00F66458" w:rsidRDefault="00122855" w:rsidP="00122855">
      <w:pPr>
        <w:pStyle w:val="Sansinterligne"/>
        <w:jc w:val="both"/>
        <w:rPr>
          <w:rFonts w:ascii="Times New Roman" w:hAnsi="Times New Roman" w:cs="Times New Roman"/>
          <w:sz w:val="24"/>
          <w:szCs w:val="24"/>
          <w:vertAlign w:val="superscript"/>
        </w:rPr>
      </w:pPr>
      <w:proofErr w:type="spellStart"/>
      <w:r w:rsidRPr="00F66458">
        <w:rPr>
          <w:rFonts w:ascii="Times New Roman" w:hAnsi="Times New Roman" w:cs="Times New Roman"/>
          <w:b/>
          <w:bCs/>
          <w:sz w:val="24"/>
          <w:szCs w:val="24"/>
          <w:u w:val="single"/>
        </w:rPr>
        <w:t>Aygun</w:t>
      </w:r>
      <w:proofErr w:type="spellEnd"/>
      <w:r w:rsidRPr="00F66458">
        <w:rPr>
          <w:rFonts w:ascii="Times New Roman" w:hAnsi="Times New Roman" w:cs="Times New Roman"/>
          <w:b/>
          <w:bCs/>
          <w:sz w:val="24"/>
          <w:szCs w:val="24"/>
          <w:u w:val="single"/>
        </w:rPr>
        <w:t xml:space="preserve"> Imanci</w:t>
      </w:r>
      <w:r w:rsidRPr="00F66458">
        <w:rPr>
          <w:rFonts w:ascii="Times New Roman" w:hAnsi="Times New Roman" w:cs="Times New Roman"/>
          <w:sz w:val="24"/>
          <w:szCs w:val="24"/>
          <w:u w:val="single"/>
          <w:vertAlign w:val="superscript"/>
        </w:rPr>
        <w:t>1</w:t>
      </w:r>
      <w:r w:rsidRPr="00F66458">
        <w:rPr>
          <w:rFonts w:ascii="Times New Roman" w:hAnsi="Times New Roman" w:cs="Times New Roman"/>
          <w:sz w:val="24"/>
          <w:szCs w:val="24"/>
          <w:vertAlign w:val="superscript"/>
        </w:rPr>
        <w:t>,2</w:t>
      </w:r>
      <w:r w:rsidRPr="00F66458">
        <w:rPr>
          <w:rFonts w:ascii="Times New Roman" w:hAnsi="Times New Roman" w:cs="Times New Roman"/>
          <w:sz w:val="24"/>
          <w:szCs w:val="24"/>
        </w:rPr>
        <w:t>, Lucie Laplane</w:t>
      </w:r>
      <w:r w:rsidRPr="00F66458">
        <w:rPr>
          <w:rFonts w:ascii="Times New Roman" w:hAnsi="Times New Roman" w:cs="Times New Roman"/>
          <w:sz w:val="24"/>
          <w:szCs w:val="24"/>
          <w:vertAlign w:val="superscript"/>
        </w:rPr>
        <w:t>1,2</w:t>
      </w:r>
      <w:r w:rsidRPr="00F66458">
        <w:rPr>
          <w:rFonts w:ascii="Times New Roman" w:hAnsi="Times New Roman" w:cs="Times New Roman"/>
          <w:sz w:val="24"/>
          <w:szCs w:val="24"/>
        </w:rPr>
        <w:t>, Dorothée Selimoglu-Buet</w:t>
      </w:r>
      <w:r w:rsidRPr="00F66458">
        <w:rPr>
          <w:rFonts w:ascii="Times New Roman" w:hAnsi="Times New Roman" w:cs="Times New Roman"/>
          <w:sz w:val="24"/>
          <w:szCs w:val="24"/>
          <w:vertAlign w:val="superscript"/>
        </w:rPr>
        <w:t>1,2</w:t>
      </w:r>
      <w:r w:rsidRPr="00F66458">
        <w:rPr>
          <w:rFonts w:ascii="Times New Roman" w:hAnsi="Times New Roman" w:cs="Times New Roman"/>
          <w:sz w:val="24"/>
          <w:szCs w:val="24"/>
        </w:rPr>
        <w:t>, Margot Morabito</w:t>
      </w:r>
      <w:r w:rsidRPr="00F66458">
        <w:rPr>
          <w:rFonts w:ascii="Times New Roman" w:hAnsi="Times New Roman" w:cs="Times New Roman"/>
          <w:sz w:val="24"/>
          <w:szCs w:val="24"/>
          <w:vertAlign w:val="superscript"/>
        </w:rPr>
        <w:t>1,2</w:t>
      </w:r>
      <w:r w:rsidRPr="00F66458">
        <w:rPr>
          <w:rFonts w:ascii="Times New Roman" w:hAnsi="Times New Roman" w:cs="Times New Roman"/>
          <w:sz w:val="24"/>
          <w:szCs w:val="24"/>
        </w:rPr>
        <w:t>, Laure BRIERE</w:t>
      </w:r>
      <w:r w:rsidRPr="00F66458">
        <w:rPr>
          <w:rFonts w:ascii="Times New Roman" w:hAnsi="Times New Roman" w:cs="Times New Roman"/>
          <w:sz w:val="24"/>
          <w:szCs w:val="24"/>
          <w:vertAlign w:val="superscript"/>
        </w:rPr>
        <w:t>1,2</w:t>
      </w:r>
      <w:r w:rsidRPr="00F66458">
        <w:rPr>
          <w:rFonts w:ascii="Times New Roman" w:hAnsi="Times New Roman" w:cs="Times New Roman"/>
          <w:sz w:val="24"/>
          <w:szCs w:val="24"/>
        </w:rPr>
        <w:t xml:space="preserve">, </w:t>
      </w:r>
      <w:proofErr w:type="spellStart"/>
      <w:r w:rsidRPr="00F66458">
        <w:rPr>
          <w:rFonts w:ascii="Times New Roman" w:hAnsi="Times New Roman" w:cs="Times New Roman"/>
          <w:sz w:val="24"/>
          <w:szCs w:val="24"/>
        </w:rPr>
        <w:t>Phillipe</w:t>
      </w:r>
      <w:proofErr w:type="spellEnd"/>
      <w:r w:rsidRPr="00F66458">
        <w:rPr>
          <w:rFonts w:ascii="Times New Roman" w:hAnsi="Times New Roman" w:cs="Times New Roman"/>
          <w:sz w:val="24"/>
          <w:szCs w:val="24"/>
        </w:rPr>
        <w:t xml:space="preserve"> Rameau</w:t>
      </w:r>
      <w:r w:rsidRPr="00F66458">
        <w:rPr>
          <w:rFonts w:ascii="Times New Roman" w:hAnsi="Times New Roman" w:cs="Times New Roman"/>
          <w:sz w:val="24"/>
          <w:szCs w:val="24"/>
          <w:vertAlign w:val="superscript"/>
        </w:rPr>
        <w:t>3</w:t>
      </w:r>
      <w:r w:rsidRPr="00F66458">
        <w:rPr>
          <w:rFonts w:ascii="Times New Roman" w:hAnsi="Times New Roman" w:cs="Times New Roman"/>
          <w:sz w:val="24"/>
          <w:szCs w:val="24"/>
        </w:rPr>
        <w:t>, Margaux Wacheux</w:t>
      </w:r>
      <w:r w:rsidRPr="00F66458">
        <w:rPr>
          <w:rFonts w:ascii="Times New Roman" w:hAnsi="Times New Roman" w:cs="Times New Roman"/>
          <w:sz w:val="24"/>
          <w:szCs w:val="24"/>
          <w:vertAlign w:val="superscript"/>
        </w:rPr>
        <w:t>1,2</w:t>
      </w:r>
      <w:r w:rsidRPr="00F66458">
        <w:rPr>
          <w:rFonts w:ascii="Times New Roman" w:hAnsi="Times New Roman" w:cs="Times New Roman"/>
          <w:sz w:val="24"/>
          <w:szCs w:val="24"/>
        </w:rPr>
        <w:t>, Marine Aglave</w:t>
      </w:r>
      <w:r w:rsidRPr="00F66458">
        <w:rPr>
          <w:rFonts w:ascii="Times New Roman" w:hAnsi="Times New Roman" w:cs="Times New Roman"/>
          <w:sz w:val="24"/>
          <w:szCs w:val="24"/>
          <w:vertAlign w:val="superscript"/>
        </w:rPr>
        <w:t>3</w:t>
      </w:r>
      <w:r w:rsidRPr="00F66458">
        <w:rPr>
          <w:rFonts w:ascii="Times New Roman" w:hAnsi="Times New Roman" w:cs="Times New Roman"/>
          <w:sz w:val="24"/>
          <w:szCs w:val="24"/>
        </w:rPr>
        <w:t xml:space="preserve">, </w:t>
      </w:r>
      <w:proofErr w:type="spellStart"/>
      <w:r w:rsidRPr="00F66458">
        <w:rPr>
          <w:rFonts w:ascii="Times New Roman" w:hAnsi="Times New Roman" w:cs="Times New Roman"/>
          <w:sz w:val="24"/>
          <w:szCs w:val="24"/>
        </w:rPr>
        <w:t>Maëla</w:t>
      </w:r>
      <w:proofErr w:type="spellEnd"/>
      <w:r w:rsidRPr="00F66458">
        <w:rPr>
          <w:rFonts w:ascii="Times New Roman" w:hAnsi="Times New Roman" w:cs="Times New Roman"/>
          <w:sz w:val="24"/>
          <w:szCs w:val="24"/>
        </w:rPr>
        <w:t xml:space="preserve"> Francillette</w:t>
      </w:r>
      <w:r w:rsidRPr="00F66458">
        <w:rPr>
          <w:rFonts w:ascii="Times New Roman" w:hAnsi="Times New Roman" w:cs="Times New Roman"/>
          <w:sz w:val="24"/>
          <w:szCs w:val="24"/>
          <w:vertAlign w:val="superscript"/>
        </w:rPr>
        <w:t>3</w:t>
      </w:r>
      <w:r w:rsidRPr="00F66458">
        <w:rPr>
          <w:rFonts w:ascii="Times New Roman" w:hAnsi="Times New Roman" w:cs="Times New Roman"/>
          <w:sz w:val="24"/>
          <w:szCs w:val="24"/>
        </w:rPr>
        <w:t>, Orianne Wagner-Ballon</w:t>
      </w:r>
      <w:r w:rsidRPr="00F66458">
        <w:rPr>
          <w:rFonts w:ascii="Times New Roman" w:hAnsi="Times New Roman" w:cs="Times New Roman"/>
          <w:sz w:val="24"/>
          <w:szCs w:val="24"/>
          <w:vertAlign w:val="superscript"/>
        </w:rPr>
        <w:t>4</w:t>
      </w:r>
      <w:r w:rsidRPr="00F66458">
        <w:rPr>
          <w:rFonts w:ascii="Times New Roman" w:hAnsi="Times New Roman" w:cs="Times New Roman"/>
          <w:sz w:val="24"/>
          <w:szCs w:val="24"/>
        </w:rPr>
        <w:t>, Maria E. Figueroa</w:t>
      </w:r>
      <w:r w:rsidRPr="00F66458">
        <w:rPr>
          <w:rFonts w:ascii="Times New Roman" w:hAnsi="Times New Roman" w:cs="Times New Roman"/>
          <w:sz w:val="24"/>
          <w:szCs w:val="24"/>
          <w:vertAlign w:val="superscript"/>
        </w:rPr>
        <w:t>5</w:t>
      </w:r>
      <w:r w:rsidRPr="00F66458">
        <w:rPr>
          <w:rFonts w:ascii="Times New Roman" w:hAnsi="Times New Roman" w:cs="Times New Roman"/>
          <w:sz w:val="24"/>
          <w:szCs w:val="24"/>
        </w:rPr>
        <w:t>, Pierre Fenaux</w:t>
      </w:r>
      <w:r w:rsidRPr="00F66458">
        <w:rPr>
          <w:rFonts w:ascii="Times New Roman" w:hAnsi="Times New Roman" w:cs="Times New Roman"/>
          <w:sz w:val="24"/>
          <w:szCs w:val="24"/>
          <w:vertAlign w:val="superscript"/>
        </w:rPr>
        <w:t>6</w:t>
      </w:r>
      <w:r w:rsidRPr="00F66458">
        <w:rPr>
          <w:rFonts w:ascii="Times New Roman" w:hAnsi="Times New Roman" w:cs="Times New Roman"/>
          <w:sz w:val="24"/>
          <w:szCs w:val="24"/>
        </w:rPr>
        <w:t>, Raphael Itzykson</w:t>
      </w:r>
      <w:r w:rsidRPr="00F66458">
        <w:rPr>
          <w:rFonts w:ascii="Times New Roman" w:hAnsi="Times New Roman" w:cs="Times New Roman"/>
          <w:sz w:val="24"/>
          <w:szCs w:val="24"/>
          <w:vertAlign w:val="superscript"/>
        </w:rPr>
        <w:t>6</w:t>
      </w:r>
      <w:r w:rsidRPr="00F66458">
        <w:rPr>
          <w:rFonts w:ascii="Times New Roman" w:hAnsi="Times New Roman" w:cs="Times New Roman"/>
          <w:sz w:val="24"/>
          <w:szCs w:val="24"/>
        </w:rPr>
        <w:t xml:space="preserve">, </w:t>
      </w:r>
      <w:proofErr w:type="spellStart"/>
      <w:r w:rsidRPr="00F66458">
        <w:rPr>
          <w:rFonts w:ascii="Times New Roman" w:hAnsi="Times New Roman" w:cs="Times New Roman"/>
          <w:sz w:val="24"/>
          <w:szCs w:val="24"/>
        </w:rPr>
        <w:t>Eric</w:t>
      </w:r>
      <w:proofErr w:type="spellEnd"/>
      <w:r w:rsidRPr="00F66458">
        <w:rPr>
          <w:rFonts w:ascii="Times New Roman" w:hAnsi="Times New Roman" w:cs="Times New Roman"/>
          <w:sz w:val="24"/>
          <w:szCs w:val="24"/>
        </w:rPr>
        <w:t xml:space="preserve"> Solary</w:t>
      </w:r>
      <w:r w:rsidRPr="00F66458">
        <w:rPr>
          <w:rFonts w:ascii="Times New Roman" w:hAnsi="Times New Roman" w:cs="Times New Roman"/>
          <w:sz w:val="24"/>
          <w:szCs w:val="24"/>
          <w:vertAlign w:val="superscript"/>
        </w:rPr>
        <w:t>1,2,7</w:t>
      </w:r>
      <w:r w:rsidRPr="00F66458">
        <w:rPr>
          <w:rFonts w:ascii="Times New Roman" w:hAnsi="Times New Roman" w:cs="Times New Roman"/>
          <w:sz w:val="24"/>
          <w:szCs w:val="24"/>
        </w:rPr>
        <w:t xml:space="preserve"> and Nathalie Droin</w:t>
      </w:r>
      <w:r w:rsidRPr="00F66458">
        <w:rPr>
          <w:rFonts w:ascii="Times New Roman" w:hAnsi="Times New Roman" w:cs="Times New Roman"/>
          <w:sz w:val="24"/>
          <w:szCs w:val="24"/>
          <w:vertAlign w:val="superscript"/>
        </w:rPr>
        <w:t>1,2,3</w:t>
      </w:r>
    </w:p>
    <w:p w:rsidR="00122855" w:rsidRPr="00F66458" w:rsidRDefault="00122855" w:rsidP="00122855">
      <w:pPr>
        <w:pStyle w:val="Sansinterligne"/>
        <w:jc w:val="both"/>
        <w:rPr>
          <w:rFonts w:ascii="Times New Roman" w:hAnsi="Times New Roman" w:cs="Times New Roman"/>
          <w:sz w:val="24"/>
          <w:szCs w:val="24"/>
          <w:vertAlign w:val="superscript"/>
        </w:rPr>
      </w:pPr>
    </w:p>
    <w:p w:rsidR="00122855" w:rsidRPr="00192A1D" w:rsidRDefault="00122855" w:rsidP="00122855">
      <w:pPr>
        <w:pStyle w:val="Sansinterligne"/>
        <w:jc w:val="both"/>
        <w:rPr>
          <w:rFonts w:ascii="Times New Roman" w:hAnsi="Times New Roman" w:cs="Times New Roman"/>
          <w:lang w:val="en-US"/>
        </w:rPr>
      </w:pPr>
      <w:r w:rsidRPr="00F66458">
        <w:rPr>
          <w:rFonts w:ascii="Times New Roman" w:hAnsi="Times New Roman" w:cs="Times New Roman"/>
          <w:vertAlign w:val="superscript"/>
          <w:lang w:val="en-US"/>
        </w:rPr>
        <w:t>1</w:t>
      </w:r>
      <w:r w:rsidRPr="00F66458">
        <w:rPr>
          <w:rFonts w:ascii="Times New Roman" w:hAnsi="Times New Roman" w:cs="Times New Roman"/>
          <w:lang w:val="en-US"/>
        </w:rPr>
        <w:t xml:space="preserve">Inserm U1287, Gustave </w:t>
      </w:r>
      <w:proofErr w:type="spellStart"/>
      <w:r w:rsidRPr="00F66458">
        <w:rPr>
          <w:rFonts w:ascii="Times New Roman" w:hAnsi="Times New Roman" w:cs="Times New Roman"/>
          <w:lang w:val="en-US"/>
        </w:rPr>
        <w:t>Roussy</w:t>
      </w:r>
      <w:proofErr w:type="spellEnd"/>
      <w:r w:rsidRPr="00F66458">
        <w:rPr>
          <w:rFonts w:ascii="Times New Roman" w:hAnsi="Times New Roman" w:cs="Times New Roman"/>
          <w:lang w:val="en-US"/>
        </w:rPr>
        <w:t>, 94805 Villejuif, France</w:t>
      </w:r>
      <w:r>
        <w:rPr>
          <w:rFonts w:ascii="Times New Roman" w:hAnsi="Times New Roman" w:cs="Times New Roman"/>
          <w:lang w:val="en-US"/>
        </w:rPr>
        <w:t xml:space="preserve">. </w:t>
      </w:r>
      <w:r w:rsidRPr="00F66458">
        <w:rPr>
          <w:rFonts w:ascii="Times New Roman" w:hAnsi="Times New Roman" w:cs="Times New Roman"/>
          <w:vertAlign w:val="superscript"/>
        </w:rPr>
        <w:t>2</w:t>
      </w:r>
      <w:r w:rsidRPr="00F66458">
        <w:rPr>
          <w:rFonts w:ascii="Times New Roman" w:hAnsi="Times New Roman" w:cs="Times New Roman"/>
        </w:rPr>
        <w:t xml:space="preserve">Université Paris-Sud, Faculté de médecine, 94270 Le Kremlin-Bicêtre, </w:t>
      </w:r>
      <w:r>
        <w:rPr>
          <w:rFonts w:ascii="Times New Roman" w:hAnsi="Times New Roman" w:cs="Times New Roman"/>
        </w:rPr>
        <w:t>France</w:t>
      </w:r>
      <w:r>
        <w:rPr>
          <w:rFonts w:ascii="Times New Roman" w:hAnsi="Times New Roman" w:cs="Times New Roman"/>
          <w:lang w:val="fr-CA"/>
        </w:rPr>
        <w:t xml:space="preserve">. </w:t>
      </w:r>
      <w:r w:rsidRPr="00F66458">
        <w:rPr>
          <w:rFonts w:ascii="Times New Roman" w:hAnsi="Times New Roman" w:cs="Times New Roman"/>
          <w:vertAlign w:val="superscript"/>
          <w:lang w:val="en-US"/>
        </w:rPr>
        <w:t>3</w:t>
      </w:r>
      <w:r w:rsidRPr="00F66458">
        <w:rPr>
          <w:rFonts w:ascii="Times New Roman" w:hAnsi="Times New Roman" w:cs="Times New Roman"/>
          <w:lang w:val="en-US"/>
        </w:rPr>
        <w:t xml:space="preserve">INSERM US23, CNRS UMS 3655, </w:t>
      </w:r>
      <w:proofErr w:type="spellStart"/>
      <w:r w:rsidRPr="00F66458">
        <w:rPr>
          <w:rFonts w:ascii="Times New Roman" w:hAnsi="Times New Roman" w:cs="Times New Roman"/>
          <w:lang w:val="en-US"/>
        </w:rPr>
        <w:t>AMMICa</w:t>
      </w:r>
      <w:proofErr w:type="spellEnd"/>
      <w:r w:rsidRPr="00F66458">
        <w:rPr>
          <w:rFonts w:ascii="Times New Roman" w:hAnsi="Times New Roman" w:cs="Times New Roman"/>
          <w:lang w:val="en-US"/>
        </w:rPr>
        <w:t xml:space="preserve">, Gustave </w:t>
      </w:r>
      <w:proofErr w:type="spellStart"/>
      <w:r w:rsidRPr="00F66458">
        <w:rPr>
          <w:rFonts w:ascii="Times New Roman" w:hAnsi="Times New Roman" w:cs="Times New Roman"/>
          <w:lang w:val="en-US"/>
        </w:rPr>
        <w:t>Roussy</w:t>
      </w:r>
      <w:proofErr w:type="spellEnd"/>
      <w:r w:rsidRPr="00F66458">
        <w:rPr>
          <w:rFonts w:ascii="Times New Roman" w:hAnsi="Times New Roman" w:cs="Times New Roman"/>
          <w:lang w:val="en-US"/>
        </w:rPr>
        <w:t xml:space="preserve"> Cancer Center, 94805, Villejuif, France.</w:t>
      </w:r>
      <w:r>
        <w:rPr>
          <w:rFonts w:ascii="Times New Roman" w:hAnsi="Times New Roman" w:cs="Times New Roman"/>
          <w:lang w:val="en-US"/>
        </w:rPr>
        <w:t xml:space="preserve"> </w:t>
      </w:r>
      <w:r w:rsidRPr="00F66458">
        <w:rPr>
          <w:rFonts w:ascii="Times New Roman" w:hAnsi="Times New Roman" w:cs="Times New Roman"/>
          <w:vertAlign w:val="superscript"/>
        </w:rPr>
        <w:t>4</w:t>
      </w:r>
      <w:r w:rsidRPr="00F66458">
        <w:rPr>
          <w:rFonts w:ascii="Times New Roman" w:hAnsi="Times New Roman" w:cs="Times New Roman"/>
          <w:color w:val="212121"/>
          <w:shd w:val="clear" w:color="auto" w:fill="FFFFFF"/>
        </w:rPr>
        <w:t>Département d'Hématologie et d'Immunologie Biologiques, Hôpital Henri-Mondor, 94010, Créteil, France.</w:t>
      </w:r>
      <w:r>
        <w:rPr>
          <w:rFonts w:ascii="Times New Roman" w:hAnsi="Times New Roman" w:cs="Times New Roman"/>
          <w:lang w:val="fr-CA"/>
        </w:rPr>
        <w:t xml:space="preserve"> </w:t>
      </w:r>
      <w:r w:rsidRPr="00F66458">
        <w:rPr>
          <w:rFonts w:ascii="Times New Roman" w:hAnsi="Times New Roman" w:cs="Times New Roman"/>
          <w:vertAlign w:val="superscript"/>
          <w:lang w:val="en-US"/>
        </w:rPr>
        <w:t>5</w:t>
      </w:r>
      <w:r w:rsidRPr="00F66458">
        <w:rPr>
          <w:rFonts w:ascii="Times New Roman" w:hAnsi="Times New Roman" w:cs="Times New Roman"/>
          <w:lang w:val="en-US"/>
        </w:rPr>
        <w:t>University of Miami Miller School of Medicine,</w:t>
      </w:r>
      <w:r>
        <w:rPr>
          <w:rFonts w:ascii="Times New Roman" w:hAnsi="Times New Roman" w:cs="Times New Roman"/>
          <w:lang w:val="en-US"/>
        </w:rPr>
        <w:t xml:space="preserve"> </w:t>
      </w:r>
      <w:r w:rsidRPr="00F66458">
        <w:rPr>
          <w:rFonts w:ascii="Times New Roman" w:hAnsi="Times New Roman" w:cs="Times New Roman"/>
          <w:lang w:val="en-US"/>
        </w:rPr>
        <w:t xml:space="preserve">Department </w:t>
      </w:r>
      <w:proofErr w:type="gramStart"/>
      <w:r w:rsidRPr="00F66458">
        <w:rPr>
          <w:rFonts w:ascii="Times New Roman" w:hAnsi="Times New Roman" w:cs="Times New Roman"/>
          <w:lang w:val="en-US"/>
        </w:rPr>
        <w:t>Of</w:t>
      </w:r>
      <w:proofErr w:type="gramEnd"/>
      <w:r w:rsidRPr="00F66458">
        <w:rPr>
          <w:rFonts w:ascii="Times New Roman" w:hAnsi="Times New Roman" w:cs="Times New Roman"/>
          <w:lang w:val="en-US"/>
        </w:rPr>
        <w:t xml:space="preserve"> Human Genetics, Miami, United States of America</w:t>
      </w:r>
      <w:r>
        <w:rPr>
          <w:rFonts w:ascii="Times New Roman" w:hAnsi="Times New Roman" w:cs="Times New Roman"/>
          <w:lang w:val="en-US"/>
        </w:rPr>
        <w:t xml:space="preserve">. </w:t>
      </w:r>
      <w:r w:rsidRPr="00F66458">
        <w:rPr>
          <w:rFonts w:ascii="Times New Roman" w:hAnsi="Times New Roman" w:cs="Times New Roman"/>
          <w:vertAlign w:val="superscript"/>
          <w:lang w:val="en-US"/>
        </w:rPr>
        <w:t>6</w:t>
      </w:r>
      <w:r w:rsidRPr="00F66458">
        <w:rPr>
          <w:rFonts w:ascii="Times New Roman" w:hAnsi="Times New Roman" w:cs="Times New Roman"/>
          <w:lang w:val="en-US"/>
        </w:rPr>
        <w:t>Hôpital St Louis, Hematology, Paris, France</w:t>
      </w:r>
      <w:r>
        <w:rPr>
          <w:rFonts w:ascii="Times New Roman" w:hAnsi="Times New Roman" w:cs="Times New Roman"/>
          <w:lang w:val="en-US"/>
        </w:rPr>
        <w:t xml:space="preserve">. </w:t>
      </w:r>
      <w:r w:rsidRPr="00F66458">
        <w:rPr>
          <w:rFonts w:ascii="Times New Roman" w:hAnsi="Times New Roman" w:cs="Times New Roman"/>
          <w:vertAlign w:val="superscript"/>
        </w:rPr>
        <w:t>7</w:t>
      </w:r>
      <w:r w:rsidRPr="00F66458">
        <w:rPr>
          <w:rFonts w:ascii="Times New Roman" w:hAnsi="Times New Roman" w:cs="Times New Roman"/>
        </w:rPr>
        <w:t>Gustave Roussy, Département d'hématologie, Gustave Roussy, 94805 Villejuif, France</w:t>
      </w:r>
    </w:p>
    <w:p w:rsidR="00122855" w:rsidRDefault="00122855" w:rsidP="00122855"/>
    <w:p w:rsidR="00122855" w:rsidRDefault="00122855" w:rsidP="00122855">
      <w:pPr>
        <w:pStyle w:val="NormalWeb"/>
        <w:jc w:val="both"/>
        <w:rPr>
          <w:lang w:val="en-US"/>
        </w:rPr>
      </w:pPr>
      <w:r>
        <w:rPr>
          <w:noProof/>
          <w:sz w:val="20"/>
          <w:szCs w:val="20"/>
        </w:rPr>
        <mc:AlternateContent>
          <mc:Choice Requires="wps">
            <w:drawing>
              <wp:anchor distT="0" distB="0" distL="114300" distR="114300" simplePos="0" relativeHeight="251659264" behindDoc="0" locked="0" layoutInCell="1" allowOverlap="1" wp14:anchorId="09B922CE" wp14:editId="1E78F06F">
                <wp:simplePos x="0" y="0"/>
                <wp:positionH relativeFrom="column">
                  <wp:posOffset>0</wp:posOffset>
                </wp:positionH>
                <wp:positionV relativeFrom="paragraph">
                  <wp:posOffset>9229</wp:posOffset>
                </wp:positionV>
                <wp:extent cx="5791200" cy="0"/>
                <wp:effectExtent l="0" t="0" r="12700" b="12700"/>
                <wp:wrapNone/>
                <wp:docPr id="747060892" name="Connecteur droit 74706089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26D6" id="Connecteur droit 7470608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mwvQEAAMUDAAAOAAAAZHJzL2Uyb0RvYy54bWysU9uO0zAQfUfiHyy/0yQVbHejpvvQFbwg&#10;qLh8gNcZNxa+aext0r9n7LYpAoTQal8cj33OzJzjyfp+soYdAKP2ruPNouYMnPS9dvuOf//2/s0t&#10;ZzEJ1wvjHXT8CJHfb16/Wo+hhaUfvOkBGSVxsR1Dx4eUQltVUQ5gRVz4AI4ulUcrEoW4r3oUI2W3&#10;plrW9U01euwDegkx0unD6ZJvSn6lQKbPSkVIzHScektlxbI+5rXarEW7RxEGLc9tiGd0YYV2VHRO&#10;9SCSYE+o/0hltUQfvUoL6W3lldISigZS09S/qfk6iABFC5kTw2xTfLm08tNhh0z3HV+9XdU39e3d&#10;kjMnLD3V1jtH/sETsh69TuyKINfGEFsib90Oz1EMO8wWTApt/pI4NhWnj7PTMCUm6fDd6q6h5+NM&#10;Xu6qKzFgTB/AW5Y3HTfaZRNEKw4fY6JiBL1AKMiNnEqXXToayGDjvoAiYVSsKewyUrA1yA6ChqH/&#10;0eTHp1wFmSlKGzOT6n+TzthMgzJm/0uc0aWid2kmWu08/q1qmi6tqhP+ovqkNct+9P2xPESxg2al&#10;KDvPdR7GX+NCv/59m58AAAD//wMAUEsDBBQABgAIAAAAIQDCsylX2AAAAAQBAAAPAAAAZHJzL2Rv&#10;d25yZXYueG1sTI/BTsMwDIbvSLxD5EncWLpKTFCaTtMkhLgg1sE9a7y0rHGqJO3K22O4wPHzb/3+&#10;XG5m14sJQ+w8KVgtMxBIjTcdWQXvh6fbexAxaTK694QKvjDCprq+KnVh/IX2ONXJCi6hWGgFbUpD&#10;IWVsWnQ6Lv2AxNnJB6cTY7DSBH3hctfLPMvW0umO+EKrB9y12Jzr0SnoX8L0YXd2G8fn/br+fDvl&#10;r4dJqZvFvH0EkXBOf8vwo8/qULHT0Y9kougV8COJp3cgOHxY5czHX5ZVKf/LV98AAAD//wMAUEsB&#10;Ai0AFAAGAAgAAAAhALaDOJL+AAAA4QEAABMAAAAAAAAAAAAAAAAAAAAAAFtDb250ZW50X1R5cGVz&#10;XS54bWxQSwECLQAUAAYACAAAACEAOP0h/9YAAACUAQAACwAAAAAAAAAAAAAAAAAvAQAAX3JlbHMv&#10;LnJlbHNQSwECLQAUAAYACAAAACEAaaWJsL0BAADFAwAADgAAAAAAAAAAAAAAAAAuAgAAZHJzL2Uy&#10;b0RvYy54bWxQSwECLQAUAAYACAAAACEAwrMpV9gAAAAEAQAADwAAAAAAAAAAAAAAAAAXBAAAZHJz&#10;L2Rvd25yZXYueG1sUEsFBgAAAAAEAAQA8wAAABwFAAAAAA==&#10;" strokecolor="black [3200]" strokeweight=".5pt">
                <v:stroke joinstyle="miter"/>
              </v:line>
            </w:pict>
          </mc:Fallback>
        </mc:AlternateContent>
      </w:r>
      <w:r w:rsidRPr="00DF37C2">
        <w:rPr>
          <w:rStyle w:val="lev"/>
          <w:u w:val="single"/>
          <w:lang w:val="en-US"/>
        </w:rPr>
        <w:t>Background and aims</w:t>
      </w:r>
      <w:r w:rsidRPr="00DF37C2">
        <w:rPr>
          <w:lang w:val="en-US"/>
        </w:rPr>
        <w:t xml:space="preserve">: The tumor suppressor gene TP53 is commonly mutated in cancers, but TP53 mutations are rare (&lt;1%) in chronic </w:t>
      </w:r>
      <w:proofErr w:type="spellStart"/>
      <w:r w:rsidRPr="00DF37C2">
        <w:rPr>
          <w:lang w:val="en-US"/>
        </w:rPr>
        <w:t>myelomonocytic</w:t>
      </w:r>
      <w:proofErr w:type="spellEnd"/>
      <w:r w:rsidRPr="00DF37C2">
        <w:rPr>
          <w:lang w:val="en-US"/>
        </w:rPr>
        <w:t xml:space="preserve"> leukemia (CMML) cells. </w:t>
      </w:r>
    </w:p>
    <w:p w:rsidR="00122855" w:rsidRPr="00DF37C2" w:rsidRDefault="00122855" w:rsidP="00122855">
      <w:pPr>
        <w:pStyle w:val="NormalWeb"/>
        <w:jc w:val="both"/>
        <w:rPr>
          <w:lang w:val="en-US"/>
        </w:rPr>
      </w:pPr>
      <w:r w:rsidRPr="00DF37C2">
        <w:rPr>
          <w:rStyle w:val="lev"/>
          <w:u w:val="single"/>
          <w:lang w:val="en-US"/>
        </w:rPr>
        <w:t>Methods:</w:t>
      </w:r>
      <w:r w:rsidRPr="00DF37C2">
        <w:rPr>
          <w:rStyle w:val="lev"/>
          <w:lang w:val="en-US"/>
        </w:rPr>
        <w:t> </w:t>
      </w:r>
      <w:r w:rsidRPr="00DF37C2">
        <w:rPr>
          <w:lang w:val="en-US"/>
        </w:rPr>
        <w:t>We used targeted gene sequencing with bulk RNA sequencing of enriched monocytes, immunofluorescence analysis of P53 protein in CMML monocytes compared to age-matched controls and single cell analysis of CD14+ and CD34+ cells in CMML. CD14, CD16 and CD300E expression by flow cytometry was studied in patients and elderly controls.</w:t>
      </w:r>
    </w:p>
    <w:p w:rsidR="00122855" w:rsidRPr="00DF37C2" w:rsidRDefault="00122855" w:rsidP="00122855">
      <w:pPr>
        <w:pStyle w:val="NormalWeb"/>
        <w:jc w:val="both"/>
        <w:rPr>
          <w:lang w:val="en-US"/>
        </w:rPr>
      </w:pPr>
      <w:r w:rsidRPr="00DF37C2">
        <w:rPr>
          <w:rStyle w:val="lev"/>
          <w:u w:val="single"/>
          <w:lang w:val="en-US"/>
        </w:rPr>
        <w:t>Results:</w:t>
      </w:r>
      <w:r w:rsidRPr="00DF37C2">
        <w:rPr>
          <w:lang w:val="en-US"/>
        </w:rPr>
        <w:t xml:space="preserve"> In a series of 129 CMML patients, we detected a heterogeneous expression of TP53 with patients expressing low level. Using the two extreme groups, this decreased expression of TP53 correlated with an increased risk of AML transformation. Confirming these results, immunofluorescence analysis of P53 protein demonstrates TP53 low expression in 28% of CMML patients. </w:t>
      </w:r>
      <w:proofErr w:type="spellStart"/>
      <w:r w:rsidRPr="00DF37C2">
        <w:rPr>
          <w:lang w:val="en-US"/>
        </w:rPr>
        <w:t>scRNAseq</w:t>
      </w:r>
      <w:proofErr w:type="spellEnd"/>
      <w:r w:rsidRPr="00DF37C2">
        <w:rPr>
          <w:lang w:val="en-US"/>
        </w:rPr>
        <w:t xml:space="preserve"> analysis of 4,759 cells identified the accumulation of LMPP and immature monocytes in patients with low level of p53 expression. Immature monocytes were characterized by low expression of CSF1R, EGR1 (by RT-qPCR, IF, </w:t>
      </w:r>
      <w:proofErr w:type="spellStart"/>
      <w:r w:rsidRPr="00DF37C2">
        <w:rPr>
          <w:lang w:val="en-US"/>
        </w:rPr>
        <w:t>scRNAseq</w:t>
      </w:r>
      <w:proofErr w:type="spellEnd"/>
      <w:r w:rsidRPr="00DF37C2">
        <w:rPr>
          <w:lang w:val="en-US"/>
        </w:rPr>
        <w:t>), KLF4 and IRF8 (</w:t>
      </w:r>
      <w:proofErr w:type="spellStart"/>
      <w:r w:rsidRPr="00DF37C2">
        <w:rPr>
          <w:lang w:val="en-US"/>
        </w:rPr>
        <w:t>scRNAseq</w:t>
      </w:r>
      <w:proofErr w:type="spellEnd"/>
      <w:r w:rsidRPr="00DF37C2">
        <w:rPr>
          <w:lang w:val="en-US"/>
        </w:rPr>
        <w:t>) in patients expressing weakly TP53.</w:t>
      </w:r>
    </w:p>
    <w:p w:rsidR="00122855" w:rsidRPr="00DF37C2" w:rsidRDefault="00122855" w:rsidP="00122855">
      <w:pPr>
        <w:pStyle w:val="NormalWeb"/>
        <w:jc w:val="both"/>
        <w:rPr>
          <w:lang w:val="en-US"/>
        </w:rPr>
      </w:pPr>
      <w:r w:rsidRPr="00DF37C2">
        <w:rPr>
          <w:lang w:val="en-US"/>
        </w:rPr>
        <w:lastRenderedPageBreak/>
        <w:t xml:space="preserve">Looking for the mechanisms involved in TP53 down-regulation, we identified a correlation between TP53 and EGR1 (Early growth response protein 1) in CMML cells. EGR1 transcription factor is localized on TP53 promoter in cord blood cells undergoing </w:t>
      </w:r>
      <w:proofErr w:type="spellStart"/>
      <w:r w:rsidRPr="00DF37C2">
        <w:rPr>
          <w:lang w:val="en-US"/>
        </w:rPr>
        <w:t>monocytic</w:t>
      </w:r>
      <w:proofErr w:type="spellEnd"/>
      <w:r w:rsidRPr="00DF37C2">
        <w:rPr>
          <w:lang w:val="en-US"/>
        </w:rPr>
        <w:t xml:space="preserve"> differentiation. siRNA-mediated decrease in EGR1 expression decreases also TP53 expression in human CMML primary monocytes. EGR1 also regulates the expression of CSF1R gene, which encodes the receptor for M-CSF, and a correlation between TP53 and CSF1R is also observe, confirming that these monocytes may be more immature. </w:t>
      </w:r>
    </w:p>
    <w:p w:rsidR="00122855" w:rsidRPr="00DF37C2" w:rsidRDefault="00122855" w:rsidP="00122855">
      <w:pPr>
        <w:pStyle w:val="NormalWeb"/>
        <w:jc w:val="both"/>
        <w:rPr>
          <w:lang w:val="en-US"/>
        </w:rPr>
      </w:pPr>
      <w:r w:rsidRPr="00DF37C2">
        <w:rPr>
          <w:lang w:val="en-US"/>
        </w:rPr>
        <w:t>Strengthening this hypothesis, a continuum CD14 monocyte population was observed, one with high level of CD300E, representing mature monocytes, and the other with lower level of CD300E, referring to more immature monocytes whose proportion increased in patients with low level of p53 expression. </w:t>
      </w:r>
    </w:p>
    <w:p w:rsidR="00122855" w:rsidRDefault="00122855" w:rsidP="00122855">
      <w:pPr>
        <w:pStyle w:val="NormalWeb"/>
        <w:jc w:val="both"/>
        <w:rPr>
          <w:lang w:val="en-US"/>
        </w:rPr>
      </w:pPr>
      <w:r w:rsidRPr="00DF37C2">
        <w:rPr>
          <w:rStyle w:val="lev"/>
          <w:u w:val="single"/>
          <w:lang w:val="en-US"/>
        </w:rPr>
        <w:t>Conclusion:</w:t>
      </w:r>
      <w:r w:rsidRPr="00DF37C2">
        <w:rPr>
          <w:lang w:val="en-US"/>
        </w:rPr>
        <w:t xml:space="preserve"> While TP53 mutations are rare in CMML, its gene expression is decreased in a fraction of patients as consequence of EGR1 down-regulation, which correlates with altered maturation of the </w:t>
      </w:r>
      <w:proofErr w:type="spellStart"/>
      <w:r w:rsidRPr="00DF37C2">
        <w:rPr>
          <w:lang w:val="en-US"/>
        </w:rPr>
        <w:t>monocytic</w:t>
      </w:r>
      <w:proofErr w:type="spellEnd"/>
      <w:r w:rsidRPr="00DF37C2">
        <w:rPr>
          <w:lang w:val="en-US"/>
        </w:rPr>
        <w:t xml:space="preserve"> lineage and a poor patient outcome.</w:t>
      </w:r>
    </w:p>
    <w:p w:rsidR="00345828" w:rsidRPr="00122855" w:rsidRDefault="00345828" w:rsidP="00122855">
      <w:bookmarkStart w:id="0" w:name="_GoBack"/>
      <w:bookmarkEnd w:id="0"/>
    </w:p>
    <w:sectPr w:rsidR="00345828" w:rsidRPr="001228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0D" w:rsidRDefault="00AC1A0D" w:rsidP="007A7DC4">
      <w:r>
        <w:separator/>
      </w:r>
    </w:p>
  </w:endnote>
  <w:endnote w:type="continuationSeparator" w:id="0">
    <w:p w:rsidR="00AC1A0D" w:rsidRDefault="00AC1A0D"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0D" w:rsidRDefault="00AC1A0D" w:rsidP="007A7DC4">
      <w:r>
        <w:separator/>
      </w:r>
    </w:p>
  </w:footnote>
  <w:footnote w:type="continuationSeparator" w:id="0">
    <w:p w:rsidR="00AC1A0D" w:rsidRDefault="00AC1A0D"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22855"/>
    <w:rsid w:val="001A6075"/>
    <w:rsid w:val="001B113F"/>
    <w:rsid w:val="001F1CF6"/>
    <w:rsid w:val="001F70C7"/>
    <w:rsid w:val="00345828"/>
    <w:rsid w:val="004B69A6"/>
    <w:rsid w:val="004D01DE"/>
    <w:rsid w:val="00502CBF"/>
    <w:rsid w:val="00764A42"/>
    <w:rsid w:val="0077699E"/>
    <w:rsid w:val="007A7DC4"/>
    <w:rsid w:val="007F08A4"/>
    <w:rsid w:val="00821A03"/>
    <w:rsid w:val="00961749"/>
    <w:rsid w:val="00961BCC"/>
    <w:rsid w:val="009B0FBC"/>
    <w:rsid w:val="00A07F32"/>
    <w:rsid w:val="00A453D1"/>
    <w:rsid w:val="00A64FB3"/>
    <w:rsid w:val="00A97618"/>
    <w:rsid w:val="00AC1A0D"/>
    <w:rsid w:val="00D05143"/>
    <w:rsid w:val="00D2136C"/>
    <w:rsid w:val="00EC66C0"/>
    <w:rsid w:val="00F51F8F"/>
    <w:rsid w:val="00FB1682"/>
    <w:rsid w:val="00FB2694"/>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 w:type="character" w:styleId="Lienhypertexte">
    <w:name w:val="Hyperlink"/>
    <w:basedOn w:val="Policepardfaut"/>
    <w:uiPriority w:val="99"/>
    <w:unhideWhenUsed/>
    <w:rsid w:val="00FB1682"/>
    <w:rPr>
      <w:color w:val="0563C1" w:themeColor="hyperlink"/>
      <w:u w:val="single"/>
    </w:rPr>
  </w:style>
  <w:style w:type="paragraph" w:styleId="Sansinterligne">
    <w:name w:val="No Spacing"/>
    <w:uiPriority w:val="1"/>
    <w:qFormat/>
    <w:rsid w:val="00122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F482-1816-4966-9DD7-53DAA90E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2023-12-05T16:09:00Z</dcterms:created>
  <dcterms:modified xsi:type="dcterms:W3CDTF">2023-12-05T16:09:00Z</dcterms:modified>
</cp:coreProperties>
</file>